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6377F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3827"/>
        <w:gridCol w:w="2410"/>
        <w:gridCol w:w="5612"/>
      </w:tblGrid>
      <w:tr w:rsidR="00A06425" w:rsidRPr="00A06425" w14:paraId="405B40D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B1BE824" w14:textId="6717D28F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AD0A5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AD0A59" w:rsidRPr="00AD0A5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rozporządzenia Ministra Sprawiedliwości zmieniającego rozporządzenie – Regulamin urzędowania sądów powszechnych</w:t>
            </w:r>
          </w:p>
          <w:p w14:paraId="38A58139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5C65FDC9" w14:textId="77777777" w:rsidTr="005D1B39">
        <w:tc>
          <w:tcPr>
            <w:tcW w:w="562" w:type="dxa"/>
            <w:shd w:val="clear" w:color="auto" w:fill="auto"/>
            <w:vAlign w:val="center"/>
          </w:tcPr>
          <w:p w14:paraId="07D48AB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D9A6C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E0118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E0C93C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38CF95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5612" w:type="dxa"/>
            <w:vAlign w:val="center"/>
          </w:tcPr>
          <w:p w14:paraId="5245D76B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253B8E5B" w14:textId="77777777" w:rsidTr="005D1B39">
        <w:tc>
          <w:tcPr>
            <w:tcW w:w="562" w:type="dxa"/>
            <w:shd w:val="clear" w:color="auto" w:fill="auto"/>
          </w:tcPr>
          <w:p w14:paraId="4FC5E0A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54888A9" w14:textId="7440BD6B" w:rsidR="00A06425" w:rsidRPr="00A06425" w:rsidRDefault="00F9217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7AAFB05B" w14:textId="35AE56E7" w:rsidR="00A06425" w:rsidRPr="00A06425" w:rsidRDefault="00F9217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17A">
              <w:rPr>
                <w:rFonts w:asciiTheme="minorHAnsi" w:hAnsiTheme="minorHAnsi" w:cstheme="minorHAnsi"/>
                <w:sz w:val="22"/>
                <w:szCs w:val="22"/>
              </w:rPr>
              <w:t>§1 pk</w:t>
            </w:r>
            <w:r w:rsidR="00CC534C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F9217A"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</w:p>
        </w:tc>
        <w:tc>
          <w:tcPr>
            <w:tcW w:w="3827" w:type="dxa"/>
            <w:shd w:val="clear" w:color="auto" w:fill="auto"/>
          </w:tcPr>
          <w:p w14:paraId="410D81BA" w14:textId="576D8373" w:rsidR="00A06425" w:rsidRPr="00A06425" w:rsidRDefault="00F9217A" w:rsidP="000B67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F9217A">
              <w:rPr>
                <w:rFonts w:asciiTheme="minorHAnsi" w:hAnsiTheme="minorHAnsi" w:cstheme="minorHAnsi"/>
                <w:sz w:val="22"/>
                <w:szCs w:val="22"/>
              </w:rPr>
              <w:t>asadnym wydaje się określenie technicznego sposobu wydania w systemie teleinformatycznym złożonych do akt rejestrowych dokumentów w postaci elektronicznej oraz ich kopii i odpisów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3E36A15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12" w:type="dxa"/>
          </w:tcPr>
          <w:p w14:paraId="50D8B8EF" w14:textId="6E955EE0" w:rsidR="00A06425" w:rsidRPr="00A06425" w:rsidRDefault="000B67A4" w:rsidP="000B67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67A4">
              <w:rPr>
                <w:rFonts w:asciiTheme="minorHAnsi" w:hAnsiTheme="minorHAnsi" w:cstheme="minorHAnsi"/>
                <w:sz w:val="22"/>
                <w:szCs w:val="22"/>
              </w:rPr>
              <w:t xml:space="preserve">Uwaga nie jest zasadna. Określenie technicznego sposobu wydania w systemie teleinformatycznym złożonych do akt rejestrowych dokumentów w postaci elektronicznej oraz ich kopii i odpisów wymagałoby w istocie szczegółowego opisania w przepisie funkcjonalności systemu teleinformatycznego obsługujących ten proces, a także obowiązków pracowników sekretariatów sądowych. Należy zauważyć, że zmieniany przepis nie regulował dotychczas szczegółowego sposobu wydawania kopii i odpisów w postaci papierowej.  Uwaga zmierza zatem do rozszerzenia jego zakresu. Rozporządzenie Ministra Sprawiedliwości z dnia 18 czerwca 2019 r. – Regulamin urzędowania sądów powszechnych (Dz. U. z 2019 r. poz. 1141, z </w:t>
            </w:r>
            <w:proofErr w:type="spellStart"/>
            <w:r w:rsidRPr="000B67A4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Pr="000B67A4">
              <w:rPr>
                <w:rFonts w:asciiTheme="minorHAnsi" w:hAnsiTheme="minorHAnsi" w:cstheme="minorHAnsi"/>
                <w:sz w:val="22"/>
                <w:szCs w:val="22"/>
              </w:rPr>
              <w:t xml:space="preserve">. zm.) nie wydaje się właściwym miejscem na tego rodzaju regulację. Akt ten określa bowiem porządek czynności sądu, a nie szczegóły funkcjonowania systemu teleinformatycznego, czy organizację i zakres działania sekretariatów sądowych. Funkcjonalności systemu teleinformatycznego opisuje dokumentacja techniczna, w oparciu o którą realizowany jest projekt </w:t>
            </w:r>
            <w:proofErr w:type="spellStart"/>
            <w:r w:rsidRPr="000B67A4">
              <w:rPr>
                <w:rFonts w:asciiTheme="minorHAnsi" w:hAnsiTheme="minorHAnsi" w:cstheme="minorHAnsi"/>
                <w:sz w:val="22"/>
                <w:szCs w:val="22"/>
              </w:rPr>
              <w:t>eKRS</w:t>
            </w:r>
            <w:proofErr w:type="spellEnd"/>
            <w:r w:rsidRPr="000B67A4">
              <w:rPr>
                <w:rFonts w:asciiTheme="minorHAnsi" w:hAnsiTheme="minorHAnsi" w:cstheme="minorHAnsi"/>
                <w:sz w:val="22"/>
                <w:szCs w:val="22"/>
              </w:rPr>
              <w:t xml:space="preserve">. Natomiast aktem właściwym do określenia organizacji i zakresu działania sekretariatów sądowych, w tym czynności związanych z wydawaniem dokumentów w postaci elektronicznej oraz ich kopii i odpisów, jest zarządzenie Ministra Sprawiedliwości z dnia 19 czerwca 2019 r. w sprawie organizacji i zakresu działania sekretariatów sądowych oraz innych działów administracji sądowej (Dz. Urz. MS. z 2019 r. poz. 138, z </w:t>
            </w:r>
            <w:proofErr w:type="spellStart"/>
            <w:r w:rsidRPr="000B67A4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Pr="000B67A4">
              <w:rPr>
                <w:rFonts w:asciiTheme="minorHAnsi" w:hAnsiTheme="minorHAnsi" w:cstheme="minorHAnsi"/>
                <w:sz w:val="22"/>
                <w:szCs w:val="22"/>
              </w:rPr>
              <w:t xml:space="preserve">. zm.). Równolegle do niniejszego projektu procedowana jest zmiana tego aktu. Przewiduje się m.in. dodanie przepisu, zgodnie z którym odpisy w postaci elektronicznej dokumentów, które zostały </w:t>
            </w:r>
            <w:r w:rsidRPr="000B67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złożone do akt sądowych w postaci papierowej, należało będzie sporządzać poprzez wykonanie ich elektronicznej kopii i opatrzenie podpisem elektronicznym osoby uwierzytelniającej. Jeżeli chodzi o szczegółowe funkcjonalności systemu teleinformatycznego, wyjaśnienia wymaga, że składanie do sądu rejestrowego wniosków o wydanie dokumentów lub ich odpisów, odbywać się będzie – tak jak w przypadku innych wniosków składanych do sądów rejestrowych – za pośrednictwem konta w systemie teleinformatycznym. Na takie konto będą przekazywane dokumenty w postaci elektronicznej oraz elektroniczne odpisy dokumentów w postaci papierowej. S</w:t>
            </w:r>
            <w:r w:rsidRPr="007A4429">
              <w:rPr>
                <w:rFonts w:asciiTheme="minorHAnsi" w:hAnsiTheme="minorHAnsi" w:cstheme="minorHAnsi"/>
                <w:sz w:val="22"/>
                <w:szCs w:val="22"/>
              </w:rPr>
              <w:t xml:space="preserve">zczegółowe opisywanie funkcjonalności </w:t>
            </w:r>
            <w:r w:rsidRPr="000B67A4">
              <w:rPr>
                <w:rFonts w:asciiTheme="minorHAnsi" w:hAnsiTheme="minorHAnsi" w:cstheme="minorHAnsi"/>
                <w:sz w:val="22"/>
                <w:szCs w:val="22"/>
              </w:rPr>
              <w:t xml:space="preserve">systemu teleinformatycznego </w:t>
            </w:r>
            <w:r w:rsidRPr="007A4429">
              <w:rPr>
                <w:rFonts w:asciiTheme="minorHAnsi" w:hAnsiTheme="minorHAnsi" w:cstheme="minorHAnsi"/>
                <w:sz w:val="22"/>
                <w:szCs w:val="22"/>
              </w:rPr>
              <w:t>w akcie normatywnym</w:t>
            </w:r>
            <w:r w:rsidRPr="000B67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A4429">
              <w:rPr>
                <w:rFonts w:asciiTheme="minorHAnsi" w:hAnsiTheme="minorHAnsi" w:cstheme="minorHAnsi"/>
                <w:sz w:val="22"/>
                <w:szCs w:val="22"/>
              </w:rPr>
              <w:t>należy uznać za</w:t>
            </w:r>
            <w:r w:rsidRPr="000B67A4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A4429">
              <w:rPr>
                <w:rFonts w:asciiTheme="minorHAnsi" w:hAnsiTheme="minorHAnsi" w:cstheme="minorHAnsi"/>
                <w:sz w:val="22"/>
                <w:szCs w:val="22"/>
              </w:rPr>
              <w:t>nieracjonalne, bowiem systemy</w:t>
            </w:r>
            <w:r w:rsidRPr="000B67A4">
              <w:rPr>
                <w:rFonts w:asciiTheme="minorHAnsi" w:hAnsiTheme="minorHAnsi" w:cstheme="minorHAnsi"/>
                <w:sz w:val="22"/>
                <w:szCs w:val="22"/>
              </w:rPr>
              <w:t xml:space="preserve"> teleinformatyczne </w:t>
            </w:r>
            <w:r w:rsidRPr="007A4429">
              <w:rPr>
                <w:rFonts w:asciiTheme="minorHAnsi" w:hAnsiTheme="minorHAnsi" w:cstheme="minorHAnsi"/>
                <w:sz w:val="22"/>
                <w:szCs w:val="22"/>
              </w:rPr>
              <w:t>ulegają częstym zmianom i są na bieżąco</w:t>
            </w:r>
            <w:r w:rsidRPr="000B67A4">
              <w:rPr>
                <w:rFonts w:asciiTheme="minorHAnsi" w:hAnsiTheme="minorHAnsi" w:cstheme="minorHAnsi"/>
                <w:sz w:val="22"/>
                <w:szCs w:val="22"/>
              </w:rPr>
              <w:t xml:space="preserve"> dostosowywane do potrzeb ich użytkowników.</w:t>
            </w:r>
          </w:p>
        </w:tc>
      </w:tr>
      <w:tr w:rsidR="00A06425" w:rsidRPr="00A06425" w14:paraId="56C38F28" w14:textId="77777777" w:rsidTr="005D1B39">
        <w:tc>
          <w:tcPr>
            <w:tcW w:w="562" w:type="dxa"/>
            <w:shd w:val="clear" w:color="auto" w:fill="auto"/>
          </w:tcPr>
          <w:p w14:paraId="78D0F140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14:paraId="02C42D4C" w14:textId="7EC31EA2" w:rsidR="00A06425" w:rsidRPr="00A06425" w:rsidRDefault="00F9217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3B0A78A1" w14:textId="04D654D1" w:rsidR="00A06425" w:rsidRPr="00A06425" w:rsidRDefault="00F9217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17A">
              <w:rPr>
                <w:rFonts w:asciiTheme="minorHAnsi" w:hAnsiTheme="minorHAnsi" w:cstheme="minorHAnsi"/>
                <w:sz w:val="22"/>
                <w:szCs w:val="22"/>
              </w:rPr>
              <w:t>§1 pkt</w:t>
            </w:r>
            <w:r w:rsidR="00CC53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9217A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827" w:type="dxa"/>
            <w:shd w:val="clear" w:color="auto" w:fill="auto"/>
          </w:tcPr>
          <w:p w14:paraId="1BC27EED" w14:textId="2D952A6D" w:rsidR="00A06425" w:rsidRPr="00A06425" w:rsidRDefault="00F9217A" w:rsidP="000B67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F9217A">
              <w:rPr>
                <w:rFonts w:asciiTheme="minorHAnsi" w:hAnsiTheme="minorHAnsi" w:cstheme="minorHAnsi"/>
                <w:sz w:val="22"/>
                <w:szCs w:val="22"/>
              </w:rPr>
              <w:t>asadnym wydaje się określenie technicznego sposobu przesłania ministrowi właściwemu do spraw wewnętrznych, elektronicznych kopii dokumentów lub postanowień. W tym przede wszystkim określenie formatu przesyłanych dokumentów elektronicznych w celu zapewnienia interoperacyjności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Pr="00F9217A">
              <w:rPr>
                <w:rFonts w:asciiTheme="minorHAnsi" w:hAnsiTheme="minorHAnsi" w:cstheme="minorHAnsi"/>
                <w:sz w:val="22"/>
                <w:szCs w:val="22"/>
              </w:rPr>
              <w:t xml:space="preserve"> spójności systemu teleinformatycznego oraz sprawnej i bezpiecznej wymian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F9217A">
              <w:rPr>
                <w:rFonts w:asciiTheme="minorHAnsi" w:hAnsiTheme="minorHAnsi" w:cstheme="minorHAnsi"/>
                <w:sz w:val="22"/>
                <w:szCs w:val="22"/>
              </w:rPr>
              <w:t xml:space="preserve"> informacji w postaci elektronicznej.</w:t>
            </w:r>
          </w:p>
        </w:tc>
        <w:tc>
          <w:tcPr>
            <w:tcW w:w="2410" w:type="dxa"/>
            <w:shd w:val="clear" w:color="auto" w:fill="auto"/>
          </w:tcPr>
          <w:p w14:paraId="0F8C0AB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12" w:type="dxa"/>
          </w:tcPr>
          <w:p w14:paraId="1C59A97A" w14:textId="77777777" w:rsidR="000B67A4" w:rsidRPr="000B67A4" w:rsidRDefault="000B67A4" w:rsidP="000B67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67A4">
              <w:rPr>
                <w:rFonts w:asciiTheme="minorHAnsi" w:hAnsiTheme="minorHAnsi" w:cstheme="minorHAnsi"/>
                <w:sz w:val="22"/>
                <w:szCs w:val="22"/>
              </w:rPr>
              <w:t>Uwaga niezasadna. Treść przepisu została wypracowana w trakcie roboczych uzgodnień z Departamentem Zezwoleń i Koncesji Ministerstwa Spraw Wewnętrznych i Administracji (MSWiA). Jego celem jest wprowadzenie możliwości przesyłania dokumentów, o których mowa w art. 8a ust. 2 pkt 2 ustawy z dnia 24 marca 1920 r. o nabywaniu nieruchomości przez cudzoziemców (Dz.U. z 2017 r. poz. 2278), zwanej dalej „</w:t>
            </w:r>
            <w:proofErr w:type="spellStart"/>
            <w:r w:rsidRPr="000B67A4">
              <w:rPr>
                <w:rFonts w:asciiTheme="minorHAnsi" w:hAnsiTheme="minorHAnsi" w:cstheme="minorHAnsi"/>
                <w:sz w:val="22"/>
                <w:szCs w:val="22"/>
              </w:rPr>
              <w:t>u.n.n.c</w:t>
            </w:r>
            <w:proofErr w:type="spellEnd"/>
            <w:r w:rsidRPr="000B67A4">
              <w:rPr>
                <w:rFonts w:asciiTheme="minorHAnsi" w:hAnsiTheme="minorHAnsi" w:cstheme="minorHAnsi"/>
                <w:sz w:val="22"/>
                <w:szCs w:val="22"/>
              </w:rPr>
              <w:t xml:space="preserve">.”, w postaci elektronicznej. W takiej bowiem postaci od dnia 1 lipca 2021 r. będą obligatoryjnie składane wszystkie wnioski i dokumenty dotyczące rejestru przedsiębiorców KRS. Ma to zapobiec konieczności drukowania dokumentacji elektronicznej w celu przesłania jej do MSWiA. Przesyłanie dokumentów w postaci papierowej stanowi obecnie znaczne obciążenie zarówno dla pracowników sekretariatów sądowych, jak i pracowników MSWiA. Dzięki elektronizacji postępowania rejestrowego ulegnie to zmianie. W przepisie przewidziano możliwość wskazania przez ministra właściwego do spraw wewnętrznych środka komunikacji elektronicznej w rozumieniu ustawy z dnia 17 lutego 2005 r. o informatyzacji działalności podmiotów realizujących zadania publiczne. Chodzi tu o środki komunikacji elektronicznej </w:t>
            </w:r>
            <w:r w:rsidRPr="000B67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 rozumieniu art. 2 pkt 5 ustawy z dnia 18 lipca 2002 r. o świadczeniu usług drogą elektroniczną (Dz. U. z 2020 r. poz. 344), tj. rozwiązania techniczne, w tym urządzenia teleinformatyczne i współpracujące z nimi narzędzia programowe, umożliwiające indywidualne porozumiewanie się na odległość przy wykorzystaniu transmisji danych między systemami teleinformatycznymi, a w szczególności pocztę elektroniczną. Planuje się wykorzystanie poczty elektronicznej, jednak przepis umożliwia również skorzystanie z innych rozwiązań technicznych. Szczegóły techniczne, takie jak np. sposób oznaczenia przesyłanych wiadomości oraz formaty i rozmiary załączanych plików, będą ustalane bezpośrednio przez poszczególne sądy rejestrowe oraz Ministra Spraw Wewnętrznych i Administracji. Podkreślenia jednak wymaga, że przesyłane elektroniczne kopie dokumentów lub postanowień będą wytwarzane w systemie teleinformatycznym obsługującym postępowanie rejestrowe, który będzie spełniał wymogi przewidziane w rozporządzeniu Rady Ministrów z dnia 12 kwietnia 2012 r. w sprawie Krajowych Ram Interoperacyjności, minimalnych wymagań dla rejestrów publicznych i wymiany informacji w postaci elektronicznej oraz minimalnych wymagań dla systemów teleinformatycznych (Dz. U. z 2017 r. poz. 2247).  Nie ma zatem potrzeby dodatkowego regulowania ww. kwestii.</w:t>
            </w:r>
          </w:p>
          <w:p w14:paraId="0A82CB72" w14:textId="4259C388" w:rsidR="00A06425" w:rsidRPr="00A06425" w:rsidRDefault="000B67A4" w:rsidP="000B67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67A4">
              <w:rPr>
                <w:rFonts w:asciiTheme="minorHAnsi" w:hAnsiTheme="minorHAnsi" w:cstheme="minorHAnsi"/>
                <w:sz w:val="22"/>
                <w:szCs w:val="22"/>
              </w:rPr>
              <w:tab/>
              <w:t>Na marginesie należy wskazać, że opisany wyżej sposób przekazywania informacji ma mieć charakter tymczasowy. Docelowym</w:t>
            </w:r>
            <w:r w:rsidRPr="000B67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0B67A4">
              <w:rPr>
                <w:rFonts w:asciiTheme="minorHAnsi" w:hAnsiTheme="minorHAnsi" w:cstheme="minorHAnsi"/>
                <w:sz w:val="22"/>
                <w:szCs w:val="22"/>
              </w:rPr>
              <w:t xml:space="preserve">rozwiązaniem będzie bowiem przesyłanie przez sądy rejestrowe do MSWiA jedynie informacji o sygnaturze sprawy z poziomu systemu teleinformatycznego obsługującego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0B67A4">
              <w:rPr>
                <w:rFonts w:asciiTheme="minorHAnsi" w:hAnsiTheme="minorHAnsi" w:cstheme="minorHAnsi"/>
                <w:sz w:val="22"/>
                <w:szCs w:val="22"/>
              </w:rPr>
              <w:t xml:space="preserve">ostępowanie rejestrowe. Otrzymawszy taką informację Minister Spraw Wewnętrznych i Administracji zapoznawałby się z aktami wskazanej sprawy za pośrednictwem Internetu. Wdrożenie takiego modelu komunikacji wymaga jednak zmiany art. 8a ust. 2 pkt 2 </w:t>
            </w:r>
            <w:proofErr w:type="spellStart"/>
            <w:r w:rsidRPr="000B67A4">
              <w:rPr>
                <w:rFonts w:asciiTheme="minorHAnsi" w:hAnsiTheme="minorHAnsi" w:cstheme="minorHAnsi"/>
                <w:sz w:val="22"/>
                <w:szCs w:val="22"/>
              </w:rPr>
              <w:t>u.n.n.c</w:t>
            </w:r>
            <w:proofErr w:type="spellEnd"/>
            <w:r w:rsidRPr="000B67A4">
              <w:rPr>
                <w:rFonts w:asciiTheme="minorHAnsi" w:hAnsiTheme="minorHAnsi" w:cstheme="minorHAnsi"/>
                <w:sz w:val="22"/>
                <w:szCs w:val="22"/>
              </w:rPr>
              <w:t xml:space="preserve">. Zmiana taka jest już przygotowana i będzie przedmiotem prac legislacyjnych dotyczących </w:t>
            </w:r>
            <w:r w:rsidRPr="000B67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obszerniejszej zmiany ustawy z dnia 20 sierpnia 1997 r. o Krajowym Rejestrze Sądowym (Dz. U. z 2021 r. poz. 112).</w:t>
            </w:r>
          </w:p>
        </w:tc>
      </w:tr>
      <w:tr w:rsidR="00A06425" w:rsidRPr="00A06425" w14:paraId="392684EE" w14:textId="77777777" w:rsidTr="005D1B39">
        <w:tc>
          <w:tcPr>
            <w:tcW w:w="562" w:type="dxa"/>
            <w:shd w:val="clear" w:color="auto" w:fill="auto"/>
          </w:tcPr>
          <w:p w14:paraId="2757DAF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14:paraId="7077B248" w14:textId="33D7F447" w:rsidR="00A06425" w:rsidRPr="00A06425" w:rsidRDefault="00F9217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3AFF66B9" w14:textId="7C48B3F5" w:rsidR="00A06425" w:rsidRPr="00A06425" w:rsidRDefault="00F9217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17A">
              <w:rPr>
                <w:rFonts w:asciiTheme="minorHAnsi" w:hAnsiTheme="minorHAnsi" w:cstheme="minorHAnsi"/>
                <w:sz w:val="22"/>
                <w:szCs w:val="22"/>
              </w:rPr>
              <w:t>§1 pkt 14</w:t>
            </w:r>
          </w:p>
        </w:tc>
        <w:tc>
          <w:tcPr>
            <w:tcW w:w="3827" w:type="dxa"/>
            <w:shd w:val="clear" w:color="auto" w:fill="auto"/>
          </w:tcPr>
          <w:p w14:paraId="731496B4" w14:textId="6126040C" w:rsidR="00A06425" w:rsidRPr="00A06425" w:rsidRDefault="00E228D5" w:rsidP="000B67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Ad </w:t>
            </w:r>
            <w:r w:rsidR="00F9217A" w:rsidRPr="00F9217A">
              <w:rPr>
                <w:rFonts w:asciiTheme="minorHAnsi" w:hAnsiTheme="minorHAnsi" w:cstheme="minorHAnsi"/>
                <w:sz w:val="22"/>
                <w:szCs w:val="22"/>
              </w:rPr>
              <w:t>§ 216a ust. 3</w:t>
            </w:r>
            <w:r w:rsidR="00CC534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F9217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C534C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9217A" w:rsidRPr="00F9217A">
              <w:rPr>
                <w:rFonts w:asciiTheme="minorHAnsi" w:hAnsiTheme="minorHAnsi" w:cstheme="minorHAnsi"/>
                <w:sz w:val="22"/>
                <w:szCs w:val="22"/>
              </w:rPr>
              <w:t>isma i dokumenty w postaci papierowej przechowywane w zbiorze dokumentów powinny być oznaczone unikalnym identyfikatorem umożliwiającym powiązanie ich w systemie teleinformatycznym z ich elektronicznymi kopiami</w:t>
            </w:r>
            <w:r w:rsidR="00CC534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9217A" w:rsidRPr="00F9217A">
              <w:rPr>
                <w:rFonts w:asciiTheme="minorHAnsi" w:hAnsiTheme="minorHAnsi" w:cstheme="minorHAnsi"/>
                <w:sz w:val="22"/>
                <w:szCs w:val="22"/>
              </w:rPr>
              <w:t xml:space="preserve"> o których mowa w</w:t>
            </w:r>
            <w:r w:rsidR="00D739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9217A" w:rsidRPr="00F9217A">
              <w:rPr>
                <w:rFonts w:asciiTheme="minorHAnsi" w:hAnsiTheme="minorHAnsi" w:cstheme="minorHAnsi"/>
                <w:sz w:val="22"/>
                <w:szCs w:val="22"/>
              </w:rPr>
              <w:t>§ 216a</w:t>
            </w:r>
            <w:r w:rsidR="00CC534C">
              <w:rPr>
                <w:rFonts w:asciiTheme="minorHAnsi" w:hAnsiTheme="minorHAnsi" w:cstheme="minorHAnsi"/>
                <w:sz w:val="22"/>
                <w:szCs w:val="22"/>
              </w:rPr>
              <w:t xml:space="preserve"> ust. 2</w:t>
            </w:r>
          </w:p>
        </w:tc>
        <w:tc>
          <w:tcPr>
            <w:tcW w:w="2410" w:type="dxa"/>
            <w:shd w:val="clear" w:color="auto" w:fill="auto"/>
          </w:tcPr>
          <w:p w14:paraId="77E66CE0" w14:textId="77777777" w:rsidR="00A06425" w:rsidRPr="00A06425" w:rsidRDefault="00A06425" w:rsidP="000B67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12" w:type="dxa"/>
          </w:tcPr>
          <w:p w14:paraId="2198BC30" w14:textId="77777777" w:rsidR="000B67A4" w:rsidRPr="000B67A4" w:rsidRDefault="000B67A4" w:rsidP="000B67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67A4">
              <w:rPr>
                <w:rFonts w:asciiTheme="minorHAnsi" w:hAnsiTheme="minorHAnsi" w:cstheme="minorHAnsi"/>
                <w:sz w:val="22"/>
                <w:szCs w:val="22"/>
              </w:rPr>
              <w:t>Proponuje się uwzględnienie zgłoszonej uwagi poprzez nadanie dodawanemu § 216a ust. 3 Regulaminu następującego brzmienia:</w:t>
            </w:r>
          </w:p>
          <w:p w14:paraId="7B784C8F" w14:textId="77777777" w:rsidR="000B67A4" w:rsidRPr="000B67A4" w:rsidRDefault="000B67A4" w:rsidP="000B67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67A4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0B67A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3. Pisma i dokumenty w postaci papierowej przechowuje się w zbiorze dokumentów oznaczając je sygnaturą sprawy oraz numerem przyporządkowanym elektronicznej kopii dokumentu w aktach sprawy.”.</w:t>
            </w:r>
          </w:p>
          <w:p w14:paraId="5DEBC662" w14:textId="77777777" w:rsidR="00A06425" w:rsidRPr="00A06425" w:rsidRDefault="00A06425" w:rsidP="000B67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AEBC5F2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B67A4"/>
    <w:rsid w:val="00140BE8"/>
    <w:rsid w:val="0019648E"/>
    <w:rsid w:val="002715B2"/>
    <w:rsid w:val="003106D4"/>
    <w:rsid w:val="003124D1"/>
    <w:rsid w:val="003B4105"/>
    <w:rsid w:val="004D086F"/>
    <w:rsid w:val="005D1B39"/>
    <w:rsid w:val="005F6527"/>
    <w:rsid w:val="006705EC"/>
    <w:rsid w:val="006E16E9"/>
    <w:rsid w:val="00710A8A"/>
    <w:rsid w:val="00807385"/>
    <w:rsid w:val="00944932"/>
    <w:rsid w:val="009E5FDB"/>
    <w:rsid w:val="00A06425"/>
    <w:rsid w:val="00AC7796"/>
    <w:rsid w:val="00AD0A59"/>
    <w:rsid w:val="00B871B6"/>
    <w:rsid w:val="00C64B1B"/>
    <w:rsid w:val="00CC534C"/>
    <w:rsid w:val="00CD5EB0"/>
    <w:rsid w:val="00D65229"/>
    <w:rsid w:val="00D73937"/>
    <w:rsid w:val="00E14C33"/>
    <w:rsid w:val="00E211BC"/>
    <w:rsid w:val="00E228D5"/>
    <w:rsid w:val="00F9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3FDAE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934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Lesisz Piotr  (DLPC)</cp:lastModifiedBy>
  <cp:revision>2</cp:revision>
  <dcterms:created xsi:type="dcterms:W3CDTF">2021-06-01T14:17:00Z</dcterms:created>
  <dcterms:modified xsi:type="dcterms:W3CDTF">2021-06-01T14:17:00Z</dcterms:modified>
</cp:coreProperties>
</file>